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D134DB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1E33685A" wp14:editId="2FF1DEBD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4DB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5DF8D2BC" wp14:editId="43CE1193">
            <wp:extent cx="5760720" cy="80981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</w:t>
      </w:r>
      <w:r>
        <w:t>Urgent 201 OB SRC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</w:t>
      </w:r>
      <w:r>
        <w:t>Pantofi de lucru 201 OB SRC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2016/425 din data de 09. martie 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</w:t>
      </w:r>
      <w:r>
        <w:t>EU Standarde EN ISO 20347:2012 EIP incaltaminte de lucru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Organele de notificare TUV Rheinland cu numar 0197, numarul de dosarului de notificare BP50445240 0001-0002</w:t>
      </w:r>
      <w:bookmarkStart w:id="0" w:name="_GoBack"/>
      <w:bookmarkEnd w:id="0"/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Informatii aditionale: </w:t>
      </w:r>
      <w:r>
        <w:t>nu este</w:t>
      </w:r>
    </w:p>
    <w:p w:rsidR="00D134DB" w:rsidRDefault="00D134DB"/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D134DB"/>
    <w:rsid w:val="00E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2020-12-08T11:35:00Z</dcterms:created>
  <dcterms:modified xsi:type="dcterms:W3CDTF">2020-12-08T11:40:00Z</dcterms:modified>
</cp:coreProperties>
</file>